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spacing w:before="66" w:after="0" w:line="275" w:lineRule="exact"/>
        <w:ind w:right="41"/>
        <w:jc w:val="center"/>
        <w:rPr>
          <w:spacing w:val="-2"/>
        </w:rPr>
      </w:pPr>
      <w:r>
        <w:rPr>
          <w:spacing w:val="-2"/>
        </w:rPr>
      </w:r>
    </w:p>
    <w:p>
      <w:pPr>
        <w:pStyle w:val="Heading1"/>
        <w:spacing w:before="66" w:after="0" w:line="275" w:lineRule="exact"/>
        <w:ind w:right="41"/>
        <w:jc w:val="center"/>
        <w:rPr>
          <w:spacing w:val="-2"/>
        </w:rPr>
      </w:pPr>
      <w:r>
        <w:rPr>
          <w:spacing w:val="-2"/>
        </w:rPr>
      </w:r>
    </w:p>
    <w:p>
      <w:pPr>
        <w:pStyle w:val="Heading1"/>
        <w:spacing w:before="66" w:after="0" w:line="275" w:lineRule="exact"/>
        <w:ind w:right="41"/>
        <w:jc w:val="center"/>
      </w:pPr>
      <w:r>
        <w:rPr>
          <w:spacing w:val="-2"/>
        </w:rPr>
        <w:t xml:space="preserve">ВЫПИСКА </w:t>
      </w:r>
    </w:p>
    <w:p>
      <w:pPr>
        <w:pStyle w:val="Normal"/>
        <w:ind w:left="2365" w:right="2389" w:hanging="22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из Протокола № 4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отчетной конференции</w:t>
      </w:r>
    </w:p>
    <w:p>
      <w:pPr>
        <w:pStyle w:val="Normal"/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ТОС «Перспектива» </w:t>
      </w:r>
    </w:p>
    <w:p>
      <w:pPr>
        <w:pStyle w:val="Normal"/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города Нижнего Новгорода</w:t>
      </w:r>
    </w:p>
    <w:p>
      <w:pPr>
        <w:pStyle w:val="BodyText"/>
        <w:spacing w:before="251" w:after="0" w:line="275" w:lineRule="exact"/>
        <w:rPr>
          <w:b/>
          <w:bCs/>
        </w:rPr>
      </w:pPr>
      <w:r>
        <w:rPr>
          <w:b/>
          <w:bCs/>
          <w:w w:val="105"/>
        </w:rPr>
        <w:t xml:space="preserve"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 xml:space="preserve">проведения:</w:t>
      </w:r>
      <w:r>
        <w:rPr>
          <w:b/>
          <w:bCs/>
          <w:spacing w:val="-11"/>
          <w:w w:val="105"/>
        </w:rPr>
        <w:t xml:space="preserve"> 18</w:t>
      </w:r>
      <w:r>
        <w:rPr>
          <w:b/>
          <w:bCs/>
          <w:spacing w:val="-2"/>
          <w:w w:val="105"/>
        </w:rPr>
        <w:t xml:space="preserve">.02.2026 года</w:t>
      </w:r>
    </w:p>
    <w:p>
      <w:pPr>
        <w:pStyle w:val="Heading1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14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</w:t>
      </w:r>
      <w:r>
        <w:t xml:space="preserve">00</w:t>
      </w:r>
      <w:r>
        <w:rPr>
          <w:spacing w:val="-15"/>
        </w:rPr>
        <w:t xml:space="preserve"> </w:t>
      </w:r>
      <w:r>
        <w:rPr>
          <w:spacing w:val="-2"/>
        </w:rPr>
        <w:t xml:space="preserve"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проведения: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пр-т Ленина, д.79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Общее число жителей, имеющих право принимать решения на конференции- 5127 человек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-26 человек</w:t>
      </w:r>
    </w:p>
    <w:p>
      <w:pPr>
        <w:pStyle w:val="Normal"/>
        <w:widowControl w:val="off"/>
        <w:spacing w:before="0" w:after="0"/>
        <w:ind w:left="0" w:right="39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присутствующих делегатов -26 человек</w:t>
      </w:r>
    </w:p>
    <w:p>
      <w:pPr>
        <w:pStyle w:val="BodyText"/>
        <w:spacing w:before="19" w:after="0"/>
      </w:pPr>
      <w:r/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конференции:</w:t>
      </w:r>
    </w:p>
    <w:p>
      <w:pPr>
        <w:pStyle w:val="Heading1"/>
        <w:ind w:right="57"/>
        <w:jc w:val="both"/>
        <w:rPr>
          <w:spacing w:val="-2"/>
        </w:rPr>
      </w:pPr>
      <w:r>
        <w:rPr>
          <w:spacing w:val="-2"/>
        </w:rPr>
      </w:r>
    </w:p>
    <w:p>
      <w:pPr>
        <w:pStyle w:val="ListParagraph"/>
        <w:widowControl w:val="off"/>
        <w:spacing w:before="0" w:after="0"/>
        <w:ind w:left="-57" w:right="0" w:firstLine="57"/>
        <w:jc w:val="both"/>
      </w:pPr>
      <w:r>
        <w:rPr>
          <w:b/>
          <w:bCs/>
          <w:sz w:val="24"/>
          <w:szCs w:val="24"/>
        </w:rPr>
        <w:t xml:space="preserve">1. Об утверждении отчета Совета общественного самоуправления TOC «Перспектива» города Нижнего Новгорода о работе за отчетный период с февраля 2025 год по февраль 2026 год.</w:t>
      </w:r>
    </w:p>
    <w:p>
      <w:pPr>
        <w:pStyle w:val="Heading1"/>
        <w:widowControl w:val="off"/>
        <w:spacing w:before="0" w:after="0"/>
        <w:ind w:left="0" w:right="0" w:firstLine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</w:pPr>
      <w:r>
        <w:rPr>
          <w:spacing w:val="-2"/>
        </w:rPr>
        <w:t xml:space="preserve">Решили:</w:t>
      </w:r>
    </w:p>
    <w:p>
      <w:pPr>
        <w:pStyle w:val="BodyText"/>
        <w:widowControl w:val="off"/>
        <w:spacing w:before="0" w:after="0"/>
        <w:ind w:left="0" w:right="0" w:firstLine="0"/>
        <w:jc w:val="both"/>
      </w:pPr>
      <w:r>
        <w:t xml:space="preserve">Отчет о работе</w:t>
      </w:r>
      <w:r>
        <w:rPr>
          <w:spacing w:val="20"/>
        </w:rPr>
        <w:t xml:space="preserve"> </w:t>
      </w:r>
      <w:r>
        <w:t xml:space="preserve">Совета общественного</w:t>
      </w:r>
      <w:r>
        <w:rPr>
          <w:spacing w:val="34"/>
        </w:rPr>
        <w:t xml:space="preserve"> </w:t>
      </w:r>
      <w:r>
        <w:t xml:space="preserve">самоуправления TOC «Перспектива» города Нижнего Новгорода </w:t>
      </w:r>
      <w:r>
        <w:rPr>
          <w:b w:val="0"/>
          <w:bCs w:val="0"/>
          <w:sz w:val="24"/>
          <w:szCs w:val="24"/>
        </w:rPr>
        <w:t xml:space="preserve">за отчетный период с февраля 2025 год по февраль 2026 года </w:t>
      </w:r>
      <w:r>
        <w:rPr>
          <w:spacing w:val="-2"/>
        </w:rPr>
        <w:t xml:space="preserve">утвердить. </w:t>
      </w:r>
    </w:p>
    <w:p>
      <w:pPr>
        <w:pStyle w:val="Heading1"/>
        <w:widowControl w:val="off"/>
        <w:spacing w:before="0" w:after="0"/>
        <w:ind w:left="0" w:right="0" w:firstLine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</w:pPr>
      <w:r>
        <w:rPr>
          <w:spacing w:val="-2"/>
        </w:rPr>
        <w:t xml:space="preserve">Голосовали:</w:t>
      </w:r>
    </w:p>
    <w:p>
      <w:pPr>
        <w:pStyle w:val="BodyText"/>
        <w:widowControl w:val="off"/>
        <w:spacing w:before="0" w:after="0"/>
        <w:ind w:left="0" w:right="0" w:firstLine="0"/>
        <w:jc w:val="both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26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ind w:firstLine="567"/>
        <w:jc w:val="both"/>
      </w:pPr>
      <w:r/>
    </w:p>
    <w:p>
      <w:pPr>
        <w:pStyle w:val="ListParagraph"/>
        <w:widowControl w:val="off"/>
        <w:numPr>
          <w:numId w:val="0"/>
          <w:ilvl w:val="0"/>
        </w:numPr>
        <w:tabs>
          <w:tab w:val="clear" w:pos="720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pacing w:before="0" w:after="0"/>
        <w:ind w:left="0" w:right="0" w:firstLine="0"/>
        <w:jc w:val="both"/>
      </w:pPr>
      <w:r>
        <w:rPr>
          <w:b/>
          <w:sz w:val="24"/>
          <w:szCs w:val="24"/>
        </w:rPr>
        <w:t xml:space="preserve"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</w:t>
      </w:r>
      <w:r>
        <w:rPr>
          <w:b/>
          <w:spacing w:val="-2"/>
          <w:sz w:val="24"/>
          <w:szCs w:val="24"/>
        </w:rPr>
        <w:t xml:space="preserve">Совета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общественного самоуправления </w:t>
      </w:r>
      <w:r>
        <w:rPr>
          <w:b/>
          <w:spacing w:val="-4"/>
          <w:sz w:val="24"/>
          <w:szCs w:val="24"/>
        </w:rPr>
        <w:t xml:space="preserve">TOC «Перспектива» города Нижнего Новгорода </w:t>
      </w:r>
      <w:r>
        <w:rPr>
          <w:b/>
          <w:bCs/>
          <w:spacing w:val="-4"/>
          <w:sz w:val="24"/>
          <w:szCs w:val="24"/>
        </w:rPr>
        <w:t xml:space="preserve">о работе за отчетный период с февраля 2025 год по февраль 2026 год.</w:t>
      </w:r>
    </w:p>
    <w:p>
      <w:pPr>
        <w:pStyle w:val="BodyText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widowControl w:val="off"/>
        <w:tabs>
          <w:tab w:val="clear" w:pos="720"/>
          <w:tab w:val="left" w:pos="9781" w:leader="none"/>
        </w:tabs>
        <w:spacing w:before="0" w:after="0"/>
        <w:ind w:left="0" w:right="0" w:firstLine="0"/>
        <w:jc w:val="both"/>
      </w:pPr>
      <w:r>
        <w:rPr>
          <w:b/>
          <w:spacing w:val="-2"/>
          <w:w w:val="90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</w:p>
    <w:p>
      <w:pPr>
        <w:pStyle w:val="BodyText"/>
        <w:widowControl w:val="off"/>
        <w:spacing w:before="0" w:after="0"/>
        <w:ind w:left="0" w:right="0" w:firstLine="0"/>
        <w:jc w:val="both"/>
      </w:pPr>
      <w:r>
        <w:t xml:space="preserve">Отчет контрольно-ревизионной комиссии по проверке финансовой деятельности Совета общественного</w:t>
      </w:r>
      <w:r>
        <w:rPr>
          <w:spacing w:val="40"/>
        </w:rPr>
        <w:t xml:space="preserve"> </w:t>
      </w:r>
      <w:r>
        <w:t xml:space="preserve">самоуправления</w:t>
      </w:r>
      <w:r>
        <w:rPr>
          <w:spacing w:val="-7"/>
        </w:rPr>
        <w:t xml:space="preserve"> </w:t>
      </w:r>
      <w:r>
        <w:rPr>
          <w:color w:val="111111"/>
        </w:rPr>
        <w:t xml:space="preserve">TO</w:t>
      </w:r>
      <w:r>
        <w:rPr>
          <w:color w:val="111111"/>
        </w:rPr>
        <w:t xml:space="preserve">С «</w:t>
      </w:r>
      <w:r>
        <w:rPr>
          <w:color w:val="111111"/>
        </w:rPr>
        <w:t xml:space="preserve">Перспектива» города Нижнего Новгорода  </w:t>
      </w:r>
      <w:r>
        <w:rPr>
          <w:b w:val="0"/>
          <w:bCs w:val="0"/>
          <w:color w:val="111111"/>
          <w:spacing w:val="-4"/>
          <w:sz w:val="24"/>
          <w:szCs w:val="24"/>
        </w:rPr>
        <w:t xml:space="preserve">за отчетный период с февраля 2025 год по февраль 2026 года </w:t>
      </w:r>
      <w:r>
        <w:rPr>
          <w:color w:val="111111"/>
        </w:rPr>
        <w:t xml:space="preserve">утвердить.</w:t>
      </w:r>
    </w:p>
    <w:p>
      <w:pPr>
        <w:pStyle w:val="Heading1"/>
        <w:widowControl w:val="off"/>
        <w:spacing w:before="0" w:after="0"/>
        <w:ind w:left="0" w:right="0" w:firstLine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widowControl w:val="off"/>
        <w:numPr>
          <w:numId w:val="0"/>
          <w:ilvl w:val="0"/>
        </w:numPr>
        <w:spacing w:before="0" w:after="0"/>
        <w:ind w:left="0" w:right="0" w:firstLine="0"/>
        <w:jc w:val="both"/>
      </w:pPr>
      <w:r>
        <w:rPr>
          <w:spacing w:val="-2"/>
        </w:rPr>
        <w:t xml:space="preserve">Голосовали:</w:t>
      </w:r>
    </w:p>
    <w:p>
      <w:pPr>
        <w:pStyle w:val="BodyText"/>
        <w:widowControl w:val="off"/>
        <w:spacing w:before="0" w:after="0"/>
        <w:ind w:left="0" w:right="0" w:firstLine="0"/>
        <w:jc w:val="both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26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widowControl w:val="off"/>
        <w:spacing w:before="0" w:after="0"/>
        <w:ind w:left="0" w:right="0" w:firstLine="0"/>
        <w:jc w:val="both"/>
      </w:pPr>
      <w:r/>
    </w:p>
    <w:p>
      <w:pPr>
        <w:pStyle w:val="BodyText"/>
        <w:spacing w:before="7" w:after="0"/>
        <w:ind w:firstLine="567"/>
        <w:jc w:val="both"/>
      </w:pPr>
      <w:r/>
    </w:p>
    <w:p>
      <w:pPr>
        <w:pStyle w:val="BodyText"/>
        <w:spacing w:before="7" w:after="0"/>
        <w:ind w:firstLine="567"/>
      </w:pPr>
      <w:r/>
    </w:p>
    <w:p>
      <w:pPr>
        <w:pStyle w:val="BodyText"/>
        <w:tabs>
          <w:tab w:val="clear" w:pos="720"/>
          <w:tab w:val="left" w:pos="9160" w:leader="none"/>
        </w:tabs>
        <w:ind w:right="94" w:firstLine="567"/>
        <w:jc w:val="center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off"/>
        <w:tabs>
          <w:tab w:val="clear" w:pos="720"/>
          <w:tab w:val="left" w:pos="9160" w:leader="none"/>
        </w:tabs>
        <w:spacing w:before="0" w:after="0"/>
        <w:ind w:left="0" w:right="113" w:firstLine="0"/>
        <w:jc w:val="center"/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         </w:t>
      </w:r>
      <w:r>
        <w:rPr>
          <w:spacing w:val="-2"/>
        </w:rPr>
        <w:t xml:space="preserve">ФИО - 24</w:t>
      </w:r>
    </w:p>
    <w:sectPr>
      <w:type w:val="nextPage"/>
      <w:pgSz w:w="11906" w:h="16838"/>
      <w:pgMar w:top="380" w:right="751" w:bottom="280" w:left="10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Noto Sans">
    <w:panose1 w:val="020B0502040504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pPr>
      <w:spacing w:before="271" w:after="0"/>
      <w:ind w:left="875" w:hanging="415"/>
    </w:pPr>
  </w:style>
  <w:style w:type="paragraph" w:styleId="TableParagraph" w:customStyle="1">
    <w:name w:val="Table Paragraph"/>
    <w:basedOn w:val="Normal"/>
    <w:uiPriority w:val="1"/>
    <w:qFormat/>
  </w:style>
  <w:style w:type="numbering" w:styleId="Style16" w:default="1">
    <w:name w:val="Без списка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TableNormal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Liberation Sans"/>
        <a:cs typeface="Liberation Sans"/>
      </a:majorFont>
      <a:minorFont>
        <a:latin typeface="Calibri" pitchFamily="0" charset="1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1222</Characters>
  <CharactersWithSpaces>1486</CharactersWithSpaces>
  <Pages>1</Pages>
  <Paragraphs>22</Paragraphs>
  <Template>Normal.dotm</Template>
  <TotalTime>82</TotalTime>
  <Words>188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md.semenova</cp:lastModifiedBy>
  <cp:revision>18</cp:revision>
  <cp:lastPrinted>2026-02-25T10:11:14Z</cp:lastPrinted>
  <dcterms:created xsi:type="dcterms:W3CDTF">2025-02-04T13:43:00Z</dcterms:created>
  <dcterms:modified xsi:type="dcterms:W3CDTF">2026-03-04T15:39:13Z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